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3D6" w:rsidRPr="0049683F" w:rsidRDefault="007803D6" w:rsidP="007803D6">
      <w:pPr>
        <w:jc w:val="right"/>
        <w:rPr>
          <w:rFonts w:ascii="Tahoma" w:hAnsi="Tahoma" w:cs="Tahoma"/>
          <w:sz w:val="20"/>
          <w:szCs w:val="20"/>
        </w:rPr>
      </w:pPr>
      <w:r w:rsidRPr="0049683F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7803D6" w:rsidRPr="0049683F" w:rsidRDefault="007803D6" w:rsidP="007803D6">
      <w:pPr>
        <w:jc w:val="right"/>
        <w:rPr>
          <w:rFonts w:ascii="Tahoma" w:hAnsi="Tahoma" w:cs="Tahoma"/>
          <w:sz w:val="20"/>
          <w:szCs w:val="20"/>
        </w:rPr>
      </w:pPr>
    </w:p>
    <w:p w:rsidR="007803D6" w:rsidRPr="0049683F" w:rsidRDefault="007803D6" w:rsidP="007803D6">
      <w:pPr>
        <w:spacing w:line="276" w:lineRule="auto"/>
        <w:jc w:val="center"/>
        <w:rPr>
          <w:rFonts w:ascii="Tahoma" w:hAnsi="Tahoma" w:cs="Tahoma"/>
          <w:sz w:val="20"/>
          <w:szCs w:val="20"/>
        </w:rPr>
      </w:pPr>
      <w:r w:rsidRPr="0049683F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7803D6" w:rsidRPr="0049683F" w:rsidRDefault="007803D6" w:rsidP="007803D6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9683F">
        <w:rPr>
          <w:rFonts w:ascii="Tahoma" w:hAnsi="Tahoma" w:cs="Tahoma"/>
          <w:sz w:val="20"/>
          <w:szCs w:val="20"/>
        </w:rPr>
        <w:t xml:space="preserve">На Выполнение проектно-изыскательных работ для реализации проекта «Редизайн онлайн сервисов (редизайн системы корпоративных сайтов, дизайн личного кабинета клиента и дизайн мобильного приложения) </w:t>
      </w:r>
      <w:r w:rsidRPr="0049683F">
        <w:rPr>
          <w:rFonts w:ascii="Tahoma" w:hAnsi="Tahoma" w:cs="Tahoma"/>
          <w:i/>
          <w:sz w:val="20"/>
          <w:szCs w:val="20"/>
        </w:rPr>
        <w:t xml:space="preserve"> </w:t>
      </w:r>
      <w:r w:rsidRPr="0049683F">
        <w:rPr>
          <w:rFonts w:ascii="Tahoma" w:hAnsi="Tahoma" w:cs="Tahoma"/>
          <w:sz w:val="20"/>
          <w:szCs w:val="20"/>
        </w:rPr>
        <w:t>для</w:t>
      </w:r>
      <w:r w:rsidRPr="0049683F">
        <w:rPr>
          <w:rFonts w:ascii="Tahoma" w:hAnsi="Tahoma" w:cs="Tahoma"/>
          <w:i/>
          <w:sz w:val="20"/>
          <w:szCs w:val="20"/>
        </w:rPr>
        <w:t xml:space="preserve"> </w:t>
      </w:r>
      <w:r w:rsidRPr="0049683F">
        <w:rPr>
          <w:rFonts w:ascii="Tahoma" w:hAnsi="Tahoma" w:cs="Tahoma"/>
          <w:sz w:val="20"/>
          <w:szCs w:val="20"/>
        </w:rPr>
        <w:t>нужд</w:t>
      </w:r>
      <w:r w:rsidRPr="0049683F">
        <w:rPr>
          <w:rFonts w:ascii="Tahoma" w:hAnsi="Tahoma" w:cs="Tahoma"/>
          <w:i/>
          <w:sz w:val="20"/>
          <w:szCs w:val="20"/>
        </w:rPr>
        <w:t xml:space="preserve"> </w:t>
      </w:r>
      <w:r w:rsidRPr="0049683F">
        <w:rPr>
          <w:rFonts w:ascii="Tahoma" w:hAnsi="Tahoma" w:cs="Tahoma"/>
          <w:sz w:val="20"/>
          <w:szCs w:val="20"/>
        </w:rPr>
        <w:t>АО ЭнергосбыТ Плюс</w:t>
      </w:r>
      <w:r w:rsidRPr="004968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49683F" w:rsidRPr="0049683F" w:rsidRDefault="0049683F" w:rsidP="0049683F">
      <w:pPr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</w:rPr>
      </w:pPr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0" w:name="_Toc443384798"/>
      <w:bookmarkStart w:id="1" w:name="_Toc140130366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Назначение документа</w:t>
      </w:r>
      <w:bookmarkEnd w:id="1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Документ формирует цели и задачи Заказчика, ожидания от выполнения проектно-изыскательских работ для реализации проекта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Плюс».</w:t>
      </w:r>
      <w:r w:rsidRPr="0049683F" w:rsidDel="00DF6C90">
        <w:rPr>
          <w:rFonts w:ascii="Tahoma" w:eastAsiaTheme="minorEastAsia" w:hAnsi="Tahoma" w:cs="Tahoma"/>
          <w:sz w:val="20"/>
          <w:szCs w:val="20"/>
        </w:rPr>
        <w:t xml:space="preserve"> 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Детализация документа является высокоуровневой, включающей потребности Заказчика, краткие характеристики системы и описание технических и функциональных требований.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Детальная проработка исполнителем функциональных и технических требований Заказчика к системе предполагается в рамках выполнения проектно-изыскательских работ.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bookmarkStart w:id="2" w:name="_GoBack"/>
      <w:bookmarkEnd w:id="2"/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3" w:name="_Toc140130367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Термины, определения, используемые сокращения</w:t>
      </w:r>
      <w:bookmarkEnd w:id="3"/>
    </w:p>
    <w:bookmarkEnd w:id="0"/>
    <w:p w:rsidR="0049683F" w:rsidRPr="0049683F" w:rsidRDefault="0049683F" w:rsidP="0049683F">
      <w:pPr>
        <w:keepNext/>
        <w:spacing w:before="120" w:after="120" w:line="288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настоящий документ введены следующие термины, определения, специальные сокращения на английском и русском языках: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2110"/>
        <w:gridCol w:w="7666"/>
      </w:tblGrid>
      <w:tr w:rsidR="0049683F" w:rsidRPr="0049683F" w:rsidTr="00C16140">
        <w:trPr>
          <w:trHeight w:val="300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7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API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Application Programming Interface — набор готовых классов, процедур, функций, структур и констант, предоставляемых приложением (библиотекой, сервисом) для использования во внешних программных продуктах.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CMS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Content Management System — информационная система или компьютерная программа, используемая для обеспечения и организации совместного процесса создания, редактирования и управления контентом (то есть содержимым).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Backend</w:t>
            </w:r>
          </w:p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Frontend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Бэкенд (англ. backend) — это логика работы сайта, скрытая от пользователя.</w:t>
            </w:r>
          </w:p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Фронтенд (англ. frontend) — это разработка пользовательских функций и интерфейса. 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SEO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val="en-US" w:eastAsia="ru-RU"/>
              </w:rPr>
              <w:t>S</w:t>
            </w: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earch engine optimization — комплекс мер для поднятия позиций Сайта в результатах выдачи поисковых систем по определенным запросам пользователей.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«1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-Битрикс»</w:t>
            </w:r>
          </w:p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Программное ядро для всестороннего управления веб-проектами на основе которого работает сайт, часть программного комплекса, обеспечивающая исполнение функций сайта. Содержит базу данных и программные компоненты по управлению сайтом.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АО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Акционерное общество.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Архитектура Проекта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Архитектура программного обеспечения (англ. software architecture) — </w:t>
            </w:r>
          </w:p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совокупность важнейших решений об организации программной системы.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Домен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Название сайта, его адрес в сети интернет.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Интеграционная шина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Программно-аппаратная архитектура среднего уровня, которая обеспечивает базовые сервисы для более специализированных и сложных информационных систем.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Лендинг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Веб-страница, построенная определенным образом. Используется для усиления эффективности рекламы, увеличения аудитории. Главная задача страницы - конвертация посетителя в покупателя или клиента компании, побуждение к целевому действию.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Налог на добавленную стоимость.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ПМИ</w:t>
            </w:r>
          </w:p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ПСИ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ПМИ — сокращение «Программа и методика испытаний».</w:t>
            </w:r>
          </w:p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ПСИ — сокращение «Приёмо-сдаточные испытания».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Сайзинг серверного оборудования 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Подбор оптимальной конфигурации аппаратного обеспечения для информационной системы.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Стек технологий 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Набор технологий, на основе которых разрабатывается сайт или приложение.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Стейкхолдер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Роль в проекте, имеющая права, долю, требования или интересы относительно системы или её свойств, удовлетворяющих их потребностям и ожиданиям. Стейкхолдеры обеспечивают возможности для системы и являются источником требований для системы.</w:t>
            </w:r>
          </w:p>
        </w:tc>
      </w:tr>
      <w:tr w:rsidR="0049683F" w:rsidRPr="0049683F" w:rsidTr="00C16140">
        <w:trPr>
          <w:trHeight w:val="765"/>
        </w:trPr>
        <w:tc>
          <w:tcPr>
            <w:tcW w:w="2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83F" w:rsidRPr="0049683F" w:rsidRDefault="0049683F" w:rsidP="004968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Юзабилити</w:t>
            </w:r>
          </w:p>
        </w:tc>
        <w:tc>
          <w:tcPr>
            <w:tcW w:w="7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83F" w:rsidRPr="0049683F" w:rsidRDefault="0049683F" w:rsidP="0049683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4968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Usability — это показатель того, насколько легко и удобно пользователю взаимодействовать с интерфейсом сайта.</w:t>
            </w:r>
          </w:p>
        </w:tc>
      </w:tr>
    </w:tbl>
    <w:p w:rsidR="0049683F" w:rsidRPr="0049683F" w:rsidRDefault="0049683F" w:rsidP="0049683F">
      <w:pPr>
        <w:spacing w:after="0" w:line="240" w:lineRule="auto"/>
        <w:rPr>
          <w:rFonts w:ascii="Tahoma" w:eastAsiaTheme="minorEastAsia" w:hAnsi="Tahoma" w:cs="Tahoma"/>
          <w:sz w:val="20"/>
          <w:szCs w:val="20"/>
        </w:rPr>
      </w:pPr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4" w:name="_Toc140130368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1. Цели и бизнес-задачи</w:t>
      </w:r>
      <w:bookmarkEnd w:id="4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Настоящий документ формирует цели и задачи Заказчика, ожидания от проведения проектно-изыскательских работ (далее Работ) для реализации проекта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 (далее Проект) согласно разделу «Содержание и сроки этапов работ предпроектного обследования» – п.3 настоящего технического задания.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Целью проектно-изыскательских работ по проекту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 является разработка подробного Технического задания.</w:t>
      </w:r>
    </w:p>
    <w:p w:rsidR="0049683F" w:rsidRPr="0049683F" w:rsidRDefault="0049683F" w:rsidP="0049683F">
      <w:pPr>
        <w:spacing w:before="240" w:after="60" w:line="360" w:lineRule="auto"/>
        <w:jc w:val="both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5" w:name="_Toc140130369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2. Общие сведения</w:t>
      </w:r>
      <w:bookmarkEnd w:id="5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b/>
          <w:sz w:val="20"/>
          <w:szCs w:val="20"/>
        </w:rPr>
      </w:pPr>
      <w:r w:rsidRPr="0049683F">
        <w:rPr>
          <w:rFonts w:ascii="Tahoma" w:eastAsiaTheme="minorEastAsia" w:hAnsi="Tahoma" w:cs="Tahoma"/>
          <w:b/>
          <w:sz w:val="20"/>
          <w:szCs w:val="20"/>
        </w:rPr>
        <w:t>Деятельность компании Заказчика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Основные виды деятельности компании Заказчика: продажа и поставка электроэнергии, тепловой энергии (отопление и горячее водоснабжение) на территории 16 регионов Российской Федерации.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Для физических лиц (населения) и юридических лиц в 7 регионах РФ выступает гарантирующим поставщиком, деятельность которых регулируется на законодательном уровне (установленные тарифы, обязательная для раскрытия информация на информационных ресурсах).</w:t>
      </w:r>
    </w:p>
    <w:p w:rsidR="0049683F" w:rsidRPr="0049683F" w:rsidRDefault="0049683F" w:rsidP="0049683F">
      <w:pPr>
        <w:keepNext/>
        <w:spacing w:after="0" w:line="360" w:lineRule="auto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6" w:name="_Toc140130370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2.1. Структура текущих онлайн проектов компании</w:t>
      </w:r>
      <w:bookmarkEnd w:id="6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Действующая система онлайн проектов АО «ЭнергосбыТ Плюс» содержит: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2.1.1. Личный кабинет.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lastRenderedPageBreak/>
        <w:t>2.1.2. Мобильное приложение.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2.1.3. Корпоративный сайт (esplus.ru) с геолокацией по регионам присутствия компании на платформе «1C-Битрикс». Язык: русский:</w:t>
      </w:r>
    </w:p>
    <w:p w:rsidR="0049683F" w:rsidRPr="0049683F" w:rsidRDefault="0049683F" w:rsidP="0049683F">
      <w:pPr>
        <w:spacing w:after="0" w:line="360" w:lineRule="auto"/>
        <w:ind w:left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2.1.3.1. Домен исполнительного аппарата (редирект на самый крупный субдомен филиала компании).</w:t>
      </w:r>
    </w:p>
    <w:p w:rsidR="0049683F" w:rsidRPr="0049683F" w:rsidRDefault="0049683F" w:rsidP="0049683F">
      <w:pPr>
        <w:spacing w:after="0" w:line="360" w:lineRule="auto"/>
        <w:ind w:left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2.1.3.2. Сайты филиалов на субдоменах (15 филиалов) с адаптивной версией и интеграциями со сторонними системами.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2.1.3.3. Сайт мультирегионального лендинга с адаптивной версией.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2.1.4. Сайты партнеров с другим дизайном на отдельных доменах.</w:t>
      </w:r>
    </w:p>
    <w:p w:rsidR="0049683F" w:rsidRPr="0049683F" w:rsidRDefault="0049683F" w:rsidP="0049683F">
      <w:pPr>
        <w:keepNext/>
        <w:spacing w:after="0" w:line="360" w:lineRule="auto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7" w:name="_Toc140130371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2.2. Структура будущих онлайн проектов компании</w:t>
      </w:r>
      <w:bookmarkEnd w:id="7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Целевая концепция онлайн проектов АО «ЭнергосбыТ Плюс» включает в себя: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2.2.1. Личный кабинет (входит в данное ТЗ в части работ по дизайну).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2.2.2. Мобильное приложение (входит в данное ТЗ в части работ по дизайну).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2.2.3. Сайты партнеров (не входит в ТЗ).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2.2.4. Корпоративный Сайт с геолокацией и динамическим выводом информации (входит в ТЗ, один Сайт для 15 филиалов и центрального офиса), с адаптивной версией и версией для слабовидящих и множеством интеграций со сторонними системами.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2.2.5. Сайт мультирегионального лендинга с адаптивной версией с возможностью редактирования и тиражирования (входит в ТЗ).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объем подробного технического задания входят пункты: 2.2.1., 2.2.2., 2.2.4., 2.2.5.</w:t>
      </w:r>
    </w:p>
    <w:p w:rsidR="0049683F" w:rsidRPr="0049683F" w:rsidRDefault="0049683F" w:rsidP="0049683F">
      <w:pPr>
        <w:keepNext/>
        <w:spacing w:after="0" w:line="360" w:lineRule="auto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8" w:name="_Toc140130372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2.3. Автоматизируемые процессы</w:t>
      </w:r>
      <w:bookmarkEnd w:id="8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Система сайтов включает в себя более 15 (пятнадцати) интеграций со сторонними системами. В зависимости от конечной системы, интеграции выполнены по API, через интеграционную шину или путем прямого подключения к базам данных информационных систем.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Личный кабинет клиента и мобильное приложение являются самостоятельными сервисами и входят в контур Проекта в части создания дизайна. При этом на сайте есть ссылка на страницу авторизации Личного кабинета и интеграции разделов: акции, контакты офисов, вопрос-ответ.</w:t>
      </w:r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9" w:name="_Toc140130373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3. Содержание и сроки этапов работ предпроектного обследования</w:t>
      </w:r>
      <w:bookmarkEnd w:id="9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 xml:space="preserve">Исполнитель должен выполнить работы по обследованию действующих онлайн проектов и систем Заказчика, работы по проектированию, результатом которых станет подробное техническое задание по Проекту. </w:t>
      </w:r>
    </w:p>
    <w:p w:rsidR="0049683F" w:rsidRPr="0049683F" w:rsidRDefault="0049683F" w:rsidP="0049683F">
      <w:pPr>
        <w:spacing w:after="0" w:line="360" w:lineRule="auto"/>
        <w:rPr>
          <w:rFonts w:ascii="Tahoma" w:eastAsiaTheme="minorEastAsia" w:hAnsi="Tahoma" w:cs="Tahoma"/>
          <w:b/>
          <w:sz w:val="20"/>
          <w:szCs w:val="20"/>
        </w:rPr>
      </w:pPr>
      <w:r w:rsidRPr="0049683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9683F">
        <w:rPr>
          <w:rFonts w:ascii="Tahoma" w:eastAsiaTheme="minorEastAsia" w:hAnsi="Tahoma" w:cs="Tahoma"/>
          <w:b/>
          <w:sz w:val="20"/>
          <w:szCs w:val="20"/>
        </w:rPr>
        <w:t xml:space="preserve">Место выполнения работ: </w:t>
      </w:r>
    </w:p>
    <w:p w:rsidR="0049683F" w:rsidRPr="0049683F" w:rsidRDefault="0049683F" w:rsidP="0049683F">
      <w:pPr>
        <w:spacing w:after="0" w:line="360" w:lineRule="auto"/>
        <w:ind w:firstLine="708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Работы выполняются:</w:t>
      </w:r>
    </w:p>
    <w:p w:rsidR="0049683F" w:rsidRPr="0049683F" w:rsidRDefault="0049683F" w:rsidP="0049683F">
      <w:pPr>
        <w:numPr>
          <w:ilvl w:val="0"/>
          <w:numId w:val="8"/>
        </w:numPr>
        <w:spacing w:after="0" w:line="36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Дистанционно для работ, не требующих присутствия в офисе Заказчика.</w:t>
      </w:r>
    </w:p>
    <w:p w:rsidR="0049683F" w:rsidRPr="0049683F" w:rsidRDefault="0049683F" w:rsidP="0049683F">
      <w:pPr>
        <w:numPr>
          <w:ilvl w:val="0"/>
          <w:numId w:val="8"/>
        </w:numPr>
        <w:spacing w:after="0" w:line="360" w:lineRule="auto"/>
        <w:contextualSpacing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офисе Заказчика для выполнения работ, описанных в п. 3.2.:</w:t>
      </w:r>
    </w:p>
    <w:p w:rsidR="0049683F" w:rsidRPr="0049683F" w:rsidRDefault="0049683F" w:rsidP="0049683F">
      <w:pPr>
        <w:spacing w:after="0" w:line="360" w:lineRule="auto"/>
        <w:ind w:left="1428"/>
        <w:contextualSpacing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«Предварительный План-график этапов работ» данного технического задания, п. 1.1. «Сбор данных. Интервьюирование стейкхолдеров» и п. 1.2. «Обследование действующей архитектуры системы сайтов и действующих интеграционных решений».</w:t>
      </w:r>
    </w:p>
    <w:p w:rsidR="0049683F" w:rsidRPr="0049683F" w:rsidRDefault="0049683F" w:rsidP="0049683F">
      <w:pPr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</w:p>
    <w:p w:rsidR="0049683F" w:rsidRPr="0049683F" w:rsidRDefault="0049683F" w:rsidP="0049683F">
      <w:pPr>
        <w:keepNext/>
        <w:spacing w:after="0" w:line="360" w:lineRule="auto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10" w:name="_Плановые_сроки_начала"/>
      <w:bookmarkStart w:id="11" w:name="_Toc140130374"/>
      <w:bookmarkEnd w:id="10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3.1. Перечень и сроки этапов работ</w:t>
      </w:r>
      <w:bookmarkEnd w:id="11"/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ab/>
      </w:r>
      <w:r w:rsidRPr="0049683F">
        <w:rPr>
          <w:rFonts w:ascii="Tahoma" w:eastAsiaTheme="minorEastAsia" w:hAnsi="Tahoma" w:cs="Tahoma"/>
          <w:b/>
          <w:sz w:val="20"/>
          <w:szCs w:val="20"/>
        </w:rPr>
        <w:t>Общий срок от начала до завершения всех работ:</w:t>
      </w:r>
      <w:r w:rsidRPr="0049683F">
        <w:rPr>
          <w:rFonts w:ascii="Tahoma" w:eastAsiaTheme="minorEastAsia" w:hAnsi="Tahoma" w:cs="Tahoma"/>
          <w:sz w:val="20"/>
          <w:szCs w:val="20"/>
        </w:rPr>
        <w:t xml:space="preserve"> по всем этапам не должен превышать 2 (двух) календарных месяцев. 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ab/>
      </w:r>
      <w:r w:rsidRPr="0049683F">
        <w:rPr>
          <w:rFonts w:ascii="Tahoma" w:eastAsiaTheme="minorEastAsia" w:hAnsi="Tahoma" w:cs="Tahoma"/>
          <w:b/>
          <w:sz w:val="20"/>
          <w:szCs w:val="20"/>
        </w:rPr>
        <w:t>Дата начала выполнения работ:</w:t>
      </w:r>
      <w:r w:rsidRPr="0049683F">
        <w:rPr>
          <w:rFonts w:ascii="Tahoma" w:eastAsiaTheme="minorEastAsia" w:hAnsi="Tahoma" w:cs="Tahoma"/>
          <w:sz w:val="20"/>
          <w:szCs w:val="20"/>
        </w:rPr>
        <w:t xml:space="preserve"> с даты подписания договора.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Сроки начала и окончания работ определяются планом-графиком работ. Итоговый детальный План-график работ составляется Исполнителем и предоставляется заказчику на согласование перед началом работ не позднее 7 (семи) календарных дней с даты подписания договора.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ходе выполнения работ все согласования и разрешения, необходимые для организации работ и взаимодействия с внешними контрагентами, обеспечивает Заказчик.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Исполнитель в рамках предпроектного обследования должен произвести работы с результатами и ориентировочными сроками этапов работ согласно Предварительному План-графику (п. 3.2.), но не ограничиваться ими.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</w:p>
    <w:p w:rsidR="0049683F" w:rsidRPr="0049683F" w:rsidRDefault="0049683F" w:rsidP="0049683F">
      <w:pPr>
        <w:keepNext/>
        <w:spacing w:after="0" w:line="360" w:lineRule="auto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12" w:name="_Toc140130375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3.2. Предварительный План-график этапов работ</w:t>
      </w:r>
      <w:bookmarkEnd w:id="12"/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945"/>
        <w:gridCol w:w="3001"/>
        <w:gridCol w:w="3987"/>
        <w:gridCol w:w="2127"/>
      </w:tblGrid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Наименование этапа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Результат работ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Сроки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Этап №1 «Проектно-изыскательные работы»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Результаты, описанные в п.1.1. и п.1.2.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 xml:space="preserve">44 рабочих дня 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(≈ 2 месяца).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1.1.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Подэтап №1.1.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Результаты по подпунктам этапа 1.1.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25 рабочих дней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(≈ 1 месяц).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1.1.1.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Уточненный План-график. 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Сбор данных. 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Исследование лучших практик конкурентов (сравнительный анализ)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Интервьюирование стейкхолдеров – представителей подразделений Заказчика на предмет требований к разработке информационной системы и бизнес-требований: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Информационная безопасность;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ИТ;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Клиентский сервис;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Продажи;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- Маркетинг;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- PR 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и пр. 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0"/>
              </w:numPr>
              <w:ind w:left="433" w:hanging="283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Подписанный уточненный План-график работ.</w:t>
            </w:r>
          </w:p>
          <w:p w:rsidR="0049683F" w:rsidRPr="0049683F" w:rsidRDefault="0049683F" w:rsidP="0049683F">
            <w:pPr>
              <w:numPr>
                <w:ilvl w:val="0"/>
                <w:numId w:val="10"/>
              </w:numPr>
              <w:ind w:left="433" w:hanging="283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Протоколы встреч по каждому направлению.</w:t>
            </w:r>
          </w:p>
          <w:p w:rsidR="0049683F" w:rsidRPr="0049683F" w:rsidRDefault="0049683F" w:rsidP="0049683F">
            <w:pPr>
              <w:numPr>
                <w:ilvl w:val="0"/>
                <w:numId w:val="10"/>
              </w:numPr>
              <w:ind w:left="433" w:hanging="283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Итоговый протокол с каталогом требований.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10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1.1.2.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Обследование действующей архитектуры системы сайтов и действующих интеграционных решений.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1"/>
              </w:numPr>
              <w:ind w:left="433" w:hanging="283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Отчет с результатами обследования.</w:t>
            </w:r>
          </w:p>
          <w:p w:rsidR="0049683F" w:rsidRPr="0049683F" w:rsidRDefault="0049683F" w:rsidP="0049683F">
            <w:pPr>
              <w:numPr>
                <w:ilvl w:val="0"/>
                <w:numId w:val="11"/>
              </w:numPr>
              <w:ind w:left="433" w:hanging="283"/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фиксирующие результаты обследования.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5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1.1.3.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Аналитика, информационное проектирование структуры сайта.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Аналитический отчет – файл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Рекомендации по дизайну и юзабилити – файлы в формате 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 + другие необходимые форматы.</w:t>
            </w:r>
          </w:p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Информационная структура системы Сайтов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 + ссылки и сопутствующие файлы.</w:t>
            </w:r>
          </w:p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фиксирующие результаты подэтапа 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5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1.1.4.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Архитектура Проекта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3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Отчет, включающий расширенное описание с комментариями архитектуры Проекта.</w:t>
            </w:r>
          </w:p>
          <w:p w:rsidR="0049683F" w:rsidRPr="0049683F" w:rsidRDefault="0049683F" w:rsidP="0049683F">
            <w:pPr>
              <w:numPr>
                <w:ilvl w:val="0"/>
                <w:numId w:val="13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фиксирующий решение по архитектуре Проекта с учетом мнений сторон (Исполнитель, Заказчик).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3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1.1.5.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Стек технологий Проекта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Отчет, включающий расширенное описание с комментариями по стеку технологий Проекта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 + ссылки и сопутствующие файлы.</w:t>
            </w:r>
          </w:p>
          <w:p w:rsidR="0049683F" w:rsidRPr="0049683F" w:rsidRDefault="0049683F" w:rsidP="0049683F">
            <w:pPr>
              <w:numPr>
                <w:ilvl w:val="0"/>
                <w:numId w:val="12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фиксирующий решение по стеку технологий с учетом мнений сторон (Исполнитель, Заказчик)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2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1.2.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Подэтап №1.</w:t>
            </w: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  <w:lang w:val="en-US"/>
              </w:rPr>
              <w:t>2</w:t>
            </w: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Результаты по подпунктам подэтапа 1.2.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19 рабочих дней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b/>
                <w:sz w:val="20"/>
                <w:szCs w:val="20"/>
              </w:rPr>
              <w:t>(≈ 1 месяц).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1.2.1.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Разработка подробного технического задания по Проекту «Редизайн онлайн сервисов (редизайн системы корпоративных сайтов,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дизайн личного кабинета клиента и дизайн мобильного приложения)</w:t>
            </w:r>
          </w:p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АО «ЭнергосбыТ Плюс»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4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Расширенное техническое задание – файл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  <w:p w:rsidR="0049683F" w:rsidRPr="0049683F" w:rsidRDefault="0049683F" w:rsidP="0049683F">
            <w:pPr>
              <w:numPr>
                <w:ilvl w:val="0"/>
                <w:numId w:val="14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Приложения к техническому заданию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другие необходимые форматы (включающие ссылки и сопутствующие файлы).</w:t>
            </w:r>
          </w:p>
          <w:p w:rsidR="0049683F" w:rsidRPr="0049683F" w:rsidRDefault="0049683F" w:rsidP="0049683F">
            <w:pPr>
              <w:numPr>
                <w:ilvl w:val="0"/>
                <w:numId w:val="14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Возможно: Динамические прототипы – ссылка; Динамические прототипы – файлы.</w:t>
            </w:r>
          </w:p>
          <w:p w:rsidR="0049683F" w:rsidRPr="0049683F" w:rsidRDefault="0049683F" w:rsidP="0049683F">
            <w:pPr>
              <w:numPr>
                <w:ilvl w:val="0"/>
                <w:numId w:val="14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фиксирующие результаты подэтапа 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15 рабочих дней.</w:t>
            </w:r>
          </w:p>
        </w:tc>
      </w:tr>
      <w:tr w:rsidR="0049683F" w:rsidRPr="0049683F" w:rsidTr="00C16140">
        <w:tc>
          <w:tcPr>
            <w:tcW w:w="945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1.2.2.</w:t>
            </w:r>
          </w:p>
        </w:tc>
        <w:tc>
          <w:tcPr>
            <w:tcW w:w="3001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Предварительный сайзинг серверного оборудования для запуска системы сайтов в промышленную эксплуатацию</w:t>
            </w:r>
          </w:p>
        </w:tc>
        <w:tc>
          <w:tcPr>
            <w:tcW w:w="3987" w:type="dxa"/>
          </w:tcPr>
          <w:p w:rsidR="0049683F" w:rsidRPr="0049683F" w:rsidRDefault="0049683F" w:rsidP="0049683F">
            <w:pPr>
              <w:numPr>
                <w:ilvl w:val="0"/>
                <w:numId w:val="15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Отчет, включающий требования к серверному оборудованию для промышленной эксплуатации, включая конфигурацию аппаратной и программной платформы хостинговой площадки, а также требования к вычислительным ресурсам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 (и другие сопутствующие документы).</w:t>
            </w:r>
          </w:p>
          <w:p w:rsidR="0049683F" w:rsidRPr="0049683F" w:rsidRDefault="0049683F" w:rsidP="0049683F">
            <w:pPr>
              <w:numPr>
                <w:ilvl w:val="0"/>
                <w:numId w:val="15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Предварительный сайзинг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 xml:space="preserve">. (и 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другие сопутствующие документы).</w:t>
            </w:r>
          </w:p>
          <w:p w:rsidR="0049683F" w:rsidRPr="0049683F" w:rsidRDefault="0049683F" w:rsidP="0049683F">
            <w:pPr>
              <w:numPr>
                <w:ilvl w:val="0"/>
                <w:numId w:val="15"/>
              </w:numPr>
              <w:contextualSpacing/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Протокол, фиксирующие результаты подэтапа  – файлы в формате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doc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, .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  <w:lang w:val="en-US"/>
              </w:rPr>
              <w:t>pdf</w:t>
            </w: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49683F" w:rsidRPr="0049683F" w:rsidRDefault="0049683F" w:rsidP="0049683F">
            <w:pPr>
              <w:rPr>
                <w:rFonts w:ascii="Tahoma" w:eastAsiaTheme="minorEastAsia" w:hAnsi="Tahoma" w:cs="Tahoma"/>
                <w:sz w:val="20"/>
                <w:szCs w:val="20"/>
              </w:rPr>
            </w:pPr>
            <w:r w:rsidRPr="0049683F">
              <w:rPr>
                <w:rFonts w:ascii="Tahoma" w:eastAsiaTheme="minorEastAsia" w:hAnsi="Tahoma" w:cs="Tahoma"/>
                <w:sz w:val="20"/>
                <w:szCs w:val="20"/>
              </w:rPr>
              <w:lastRenderedPageBreak/>
              <w:t>4 рабочих дней.</w:t>
            </w:r>
          </w:p>
        </w:tc>
      </w:tr>
    </w:tbl>
    <w:p w:rsidR="0049683F" w:rsidRPr="0049683F" w:rsidRDefault="0049683F" w:rsidP="0049683F">
      <w:pPr>
        <w:spacing w:after="0" w:line="240" w:lineRule="auto"/>
        <w:rPr>
          <w:rFonts w:ascii="Tahoma" w:eastAsiaTheme="minorEastAsia" w:hAnsi="Tahoma" w:cs="Tahoma"/>
          <w:sz w:val="20"/>
          <w:szCs w:val="20"/>
        </w:rPr>
      </w:pPr>
    </w:p>
    <w:p w:rsidR="0049683F" w:rsidRPr="0049683F" w:rsidRDefault="0049683F" w:rsidP="0049683F">
      <w:pPr>
        <w:keepNext/>
        <w:spacing w:after="0" w:line="360" w:lineRule="auto"/>
        <w:jc w:val="both"/>
        <w:outlineLvl w:val="1"/>
        <w:rPr>
          <w:rFonts w:ascii="Tahoma" w:eastAsiaTheme="majorEastAsia" w:hAnsi="Tahoma" w:cs="Tahoma"/>
          <w:b/>
          <w:bCs/>
          <w:iCs/>
          <w:sz w:val="20"/>
          <w:szCs w:val="20"/>
        </w:rPr>
      </w:pPr>
      <w:bookmarkStart w:id="13" w:name="_Toc140130376"/>
      <w:r w:rsidRPr="0049683F">
        <w:rPr>
          <w:rFonts w:ascii="Tahoma" w:eastAsiaTheme="majorEastAsia" w:hAnsi="Tahoma" w:cs="Tahoma"/>
          <w:b/>
          <w:bCs/>
          <w:iCs/>
          <w:sz w:val="20"/>
          <w:szCs w:val="20"/>
        </w:rPr>
        <w:t>3.3. Содержание подробного технического задания</w:t>
      </w:r>
      <w:bookmarkEnd w:id="13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Подробное техническое задание по проекту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 (результат работ согласно</w:t>
      </w:r>
      <w:r w:rsidRPr="0049683F">
        <w:rPr>
          <w:rFonts w:ascii="Tahoma" w:eastAsiaTheme="minorEastAsia" w:hAnsi="Tahoma" w:cs="Tahoma"/>
          <w:color w:val="FF0000"/>
          <w:sz w:val="20"/>
          <w:szCs w:val="20"/>
        </w:rPr>
        <w:t xml:space="preserve"> </w:t>
      </w:r>
      <w:r w:rsidRPr="0049683F">
        <w:rPr>
          <w:rFonts w:ascii="Tahoma" w:eastAsiaTheme="minorEastAsia" w:hAnsi="Tahoma" w:cs="Tahoma"/>
          <w:sz w:val="20"/>
          <w:szCs w:val="20"/>
        </w:rPr>
        <w:t>План-графика настоящего технического задания) должно включать в себя функциональные и нефункциональные требования, но не ограничиваться ими.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Примерное содержание расширенного технического задания по проекту «Редизайн онлайн сервисов (редизайн системы корпоративных сайтов, дизайн личного кабинета клиента и дизайн мобильного приложения) АО «ЭнергосбыТ Плюс»: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b/>
          <w:sz w:val="20"/>
          <w:szCs w:val="20"/>
        </w:rPr>
      </w:pPr>
      <w:r w:rsidRPr="0049683F">
        <w:rPr>
          <w:rFonts w:ascii="Tahoma" w:eastAsiaTheme="minorEastAsia" w:hAnsi="Tahoma" w:cs="Tahoma"/>
          <w:b/>
          <w:sz w:val="20"/>
          <w:szCs w:val="20"/>
        </w:rPr>
        <w:t>Раздел 1. Требования в части реализации редизайна системы сайтов</w:t>
      </w:r>
      <w:r w:rsidRPr="0049683F">
        <w:rPr>
          <w:rFonts w:ascii="Tahoma" w:eastAsiaTheme="minorEastAsia" w:hAnsi="Tahoma" w:cs="Tahoma"/>
          <w:b/>
          <w:sz w:val="20"/>
          <w:szCs w:val="20"/>
        </w:rPr>
        <w:tab/>
        <w:t xml:space="preserve">                 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 xml:space="preserve">                          Содержание работ по созданию системы сайтов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Перечень и сроки этапов работ</w:t>
      </w:r>
    </w:p>
    <w:p w:rsidR="0049683F" w:rsidRPr="0049683F" w:rsidRDefault="0049683F" w:rsidP="0049683F">
      <w:pPr>
        <w:spacing w:after="120" w:line="240" w:lineRule="auto"/>
        <w:ind w:left="1416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Порядок оформления и предъявления заказчику результатов работ по созданию системы сайтов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организации и проведению работ, методология проекта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Пользователи системы сайтов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Требование к структуре системы сайтов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юзабилити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Требование к дизайну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контенту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поисковой оптимизации (</w:t>
      </w:r>
      <w:r w:rsidRPr="0049683F">
        <w:rPr>
          <w:rFonts w:ascii="Tahoma" w:eastAsiaTheme="minorEastAsia" w:hAnsi="Tahoma" w:cs="Tahoma"/>
          <w:i/>
          <w:sz w:val="20"/>
          <w:szCs w:val="20"/>
          <w:lang w:val="en-US"/>
        </w:rPr>
        <w:t>SEO</w:t>
      </w:r>
      <w:r w:rsidRPr="0049683F">
        <w:rPr>
          <w:rFonts w:ascii="Tahoma" w:eastAsiaTheme="minorEastAsia" w:hAnsi="Tahoma" w:cs="Tahoma"/>
          <w:i/>
          <w:sz w:val="20"/>
          <w:szCs w:val="20"/>
        </w:rPr>
        <w:t>)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лендингу акций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версии системы сайтов для слабовидящих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Технические требования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верстке (</w:t>
      </w:r>
      <w:r w:rsidRPr="0049683F">
        <w:rPr>
          <w:rFonts w:ascii="Tahoma" w:eastAsiaTheme="minorEastAsia" w:hAnsi="Tahoma" w:cs="Tahoma"/>
          <w:i/>
          <w:sz w:val="20"/>
          <w:szCs w:val="20"/>
          <w:lang w:val="en-US"/>
        </w:rPr>
        <w:t>frontend</w:t>
      </w:r>
      <w:r w:rsidRPr="0049683F">
        <w:rPr>
          <w:rFonts w:ascii="Tahoma" w:eastAsiaTheme="minorEastAsia" w:hAnsi="Tahoma" w:cs="Tahoma"/>
          <w:i/>
          <w:sz w:val="20"/>
          <w:szCs w:val="20"/>
        </w:rPr>
        <w:t xml:space="preserve"> и </w:t>
      </w:r>
      <w:r w:rsidRPr="0049683F">
        <w:rPr>
          <w:rFonts w:ascii="Tahoma" w:eastAsiaTheme="minorEastAsia" w:hAnsi="Tahoma" w:cs="Tahoma"/>
          <w:i/>
          <w:sz w:val="20"/>
          <w:szCs w:val="20"/>
          <w:lang w:val="en-US"/>
        </w:rPr>
        <w:t>backend</w:t>
      </w:r>
      <w:r w:rsidRPr="0049683F">
        <w:rPr>
          <w:rFonts w:ascii="Tahoma" w:eastAsiaTheme="minorEastAsia" w:hAnsi="Tahoma" w:cs="Tahoma"/>
          <w:i/>
          <w:sz w:val="20"/>
          <w:szCs w:val="20"/>
        </w:rPr>
        <w:t>)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программной и серверной архитектуре системы сайтов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Архитектурная схема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стеку технологий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функциональности системы управления контентом (</w:t>
      </w:r>
      <w:r w:rsidRPr="0049683F">
        <w:rPr>
          <w:rFonts w:ascii="Tahoma" w:eastAsiaTheme="minorEastAsia" w:hAnsi="Tahoma" w:cs="Tahoma"/>
          <w:i/>
          <w:sz w:val="20"/>
          <w:szCs w:val="20"/>
          <w:lang w:val="en-US"/>
        </w:rPr>
        <w:t>CMS</w:t>
      </w:r>
      <w:r w:rsidRPr="0049683F">
        <w:rPr>
          <w:rFonts w:ascii="Tahoma" w:eastAsiaTheme="minorEastAsia" w:hAnsi="Tahoma" w:cs="Tahoma"/>
          <w:i/>
          <w:sz w:val="20"/>
          <w:szCs w:val="20"/>
        </w:rPr>
        <w:t>)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режимам функционирования системы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по применению систем управления базами данных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программному обеспечению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аппаратному обеспечению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каналам связи и телекоммуникационному оборудованию, необходимому для обеспечения требуемой скорости работы системы сайтов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интеграционному взаимодействию с другими системами Заказчика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lastRenderedPageBreak/>
        <w:t>Интеграционная схема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техническим заданиям на интеграции и подготовке спецификаций на интеграции системы сайтов с другими системами Заказчика или внешними системами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мощностям и производительности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Предварительный сайзинг серверного оборудования для запуска системы сайтов в промышленную эксплуатацию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организации хранения данных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системе логирования действий пользователей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хранению и защите персональных данных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информационной безопасности системы сайтов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надежности технических средств и программного обеспечения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эргономике и технической эстетике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патентной чистоте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по стандартизации и унификации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составу и содержанию работ по подготовке объекта автоматизации к вводу системы в действие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порядку контроля и приемке системы сайтов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настройке мониторингов доступности, изменений, корректности функционирования онлайн сервисов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настройке систем аналитики (веб-аналитика…)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тестированию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методике тестирования (ПМИ и ПСИ)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Критерии успешности тестирования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Кроссбараузерное тестирование верстки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Функциональное тестирование (тест-кейсы)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Нагрузочное тестирование</w:t>
      </w:r>
    </w:p>
    <w:p w:rsidR="0049683F" w:rsidRPr="0049683F" w:rsidRDefault="0049683F" w:rsidP="0049683F">
      <w:pPr>
        <w:spacing w:after="120" w:line="240" w:lineRule="auto"/>
        <w:ind w:left="708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bookmarkStart w:id="14" w:name="_Toc63810412"/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результатам работ</w:t>
      </w:r>
      <w:bookmarkEnd w:id="14"/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эксплуатационной документации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руководству администратора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Требования к руководству пользователя</w:t>
      </w:r>
    </w:p>
    <w:p w:rsidR="0049683F" w:rsidRPr="0049683F" w:rsidRDefault="0049683F" w:rsidP="0049683F">
      <w:pPr>
        <w:spacing w:after="120" w:line="240" w:lineRule="auto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</w:r>
      <w:r w:rsidRPr="0049683F">
        <w:rPr>
          <w:rFonts w:ascii="Tahoma" w:eastAsiaTheme="minorEastAsia" w:hAnsi="Tahoma" w:cs="Tahoma"/>
          <w:i/>
          <w:sz w:val="20"/>
          <w:szCs w:val="20"/>
        </w:rPr>
        <w:tab/>
        <w:t>Описание настроек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 xml:space="preserve">Описание доработок функционала 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Инструкции пользователя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Методика обучения пользователей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Расчет стоимости владения системой Сайтов на период на 5 лет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гарантийному обслуживанию (1 год)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уровню гарантийного обслуживания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техническому обслуживанию системы сайтов (3 года)</w:t>
      </w:r>
    </w:p>
    <w:p w:rsidR="0049683F" w:rsidRPr="0049683F" w:rsidRDefault="0049683F" w:rsidP="0049683F">
      <w:pPr>
        <w:spacing w:after="120" w:line="240" w:lineRule="auto"/>
        <w:ind w:left="1416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уровню технического обслуживания системы сайтов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Отчет о прохождения опытно-промышленной эксплуатации и устранения выявленных ошибок</w:t>
      </w:r>
    </w:p>
    <w:p w:rsidR="0049683F" w:rsidRPr="0049683F" w:rsidRDefault="0049683F" w:rsidP="0049683F">
      <w:pPr>
        <w:spacing w:after="120" w:line="240" w:lineRule="auto"/>
        <w:ind w:left="2124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lastRenderedPageBreak/>
        <w:t>Структура Протокола перевода системы сайтов в промышленную эксплуатацию</w:t>
      </w:r>
    </w:p>
    <w:p w:rsidR="0049683F" w:rsidRPr="0049683F" w:rsidRDefault="0049683F" w:rsidP="0049683F">
      <w:pPr>
        <w:spacing w:after="120" w:line="240" w:lineRule="auto"/>
        <w:ind w:left="708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Порядок оформления и предъявления заказчику результатов работ</w:t>
      </w:r>
    </w:p>
    <w:p w:rsidR="0049683F" w:rsidRPr="0049683F" w:rsidRDefault="0049683F" w:rsidP="0049683F">
      <w:pPr>
        <w:spacing w:after="120" w:line="240" w:lineRule="auto"/>
        <w:ind w:left="708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bookmarkStart w:id="15" w:name="_Toc63810411"/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Исполнителю</w:t>
      </w:r>
      <w:bookmarkEnd w:id="15"/>
    </w:p>
    <w:p w:rsidR="0049683F" w:rsidRPr="0049683F" w:rsidRDefault="0049683F" w:rsidP="0049683F">
      <w:pPr>
        <w:spacing w:after="120" w:line="240" w:lineRule="auto"/>
        <w:ind w:left="708" w:firstLine="708"/>
        <w:jc w:val="both"/>
        <w:rPr>
          <w:rFonts w:ascii="Tahoma" w:eastAsiaTheme="minorEastAsia" w:hAnsi="Tahoma" w:cs="Tahoma"/>
          <w:i/>
          <w:sz w:val="20"/>
          <w:szCs w:val="20"/>
        </w:rPr>
      </w:pPr>
      <w:r w:rsidRPr="0049683F">
        <w:rPr>
          <w:rFonts w:ascii="Tahoma" w:eastAsiaTheme="minorEastAsia" w:hAnsi="Tahoma" w:cs="Tahoma"/>
          <w:i/>
          <w:sz w:val="20"/>
          <w:szCs w:val="20"/>
        </w:rPr>
        <w:t>Требования к результату работ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b/>
          <w:sz w:val="20"/>
          <w:szCs w:val="20"/>
        </w:rPr>
      </w:pPr>
      <w:r w:rsidRPr="0049683F">
        <w:rPr>
          <w:rFonts w:ascii="Tahoma" w:eastAsiaTheme="minorEastAsia" w:hAnsi="Tahoma" w:cs="Tahoma"/>
          <w:b/>
          <w:sz w:val="20"/>
          <w:szCs w:val="20"/>
        </w:rPr>
        <w:t>Раздел 2. Требования в части реализации редизайна личного кабинета и мобильного приложения.</w:t>
      </w:r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16" w:name="_Toc140130377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 xml:space="preserve">4. Требования к выполнению работ </w:t>
      </w:r>
      <w:bookmarkEnd w:id="16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рамках выполнения работ настоящего технического задания Исполнитель должен: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4.1. Организовать координацию работ своих специалистов со специалистами Заказчика, а также специалистов других Подрядчиков (при их наличии), выполняющих работы по технической поддержке системы сайтов и сторонних систем, с которыми существует интеграция.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 xml:space="preserve">4.2. Выполнять работы в соответствии с План-графиком из п.3 настоящего технического задания. 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 xml:space="preserve">4.3. В процессе выполнения работ, требования к перечню работ могут быть уточнены Заказчиком по согласованию Сторон с фиксацией Протоколом на встрече рабочей группы без заключения дополнительного соглашения. Заказчик оставляет за собой право заменить одни функциональные требования на другие равнозначные по объему трудозатрат по согласованию сторон. 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4.4. Подготовить, согласовать и передать Заказчику всю отчетную документацию с результатами выполнения (п.5).</w:t>
      </w:r>
    </w:p>
    <w:p w:rsidR="0049683F" w:rsidRPr="0049683F" w:rsidRDefault="0049683F" w:rsidP="0049683F">
      <w:pPr>
        <w:spacing w:before="240" w:after="60" w:line="24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17" w:name="_Toc140130378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5. Порядок оформления и предъявления заказчику результатов работ</w:t>
      </w:r>
      <w:bookmarkEnd w:id="17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 xml:space="preserve">Результаты работ предоставляются в электронном виде </w:t>
      </w:r>
      <w:r w:rsidRPr="0049683F">
        <w:rPr>
          <w:rFonts w:ascii="Tahoma" w:eastAsia="Times New Roman" w:hAnsi="Tahoma" w:cs="Tahoma"/>
          <w:sz w:val="20"/>
          <w:szCs w:val="20"/>
          <w:lang w:eastAsia="ru-RU"/>
        </w:rPr>
        <w:t>по результатам согласования с Заказчиком</w:t>
      </w:r>
      <w:r w:rsidRPr="0049683F">
        <w:rPr>
          <w:rFonts w:ascii="Tahoma" w:eastAsiaTheme="minorEastAsia" w:hAnsi="Tahoma" w:cs="Tahoma"/>
          <w:sz w:val="20"/>
          <w:szCs w:val="20"/>
        </w:rPr>
        <w:t xml:space="preserve">. Формат предоставления результатов работ приведен в таблице в п.3 Технического задания. </w:t>
      </w:r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Контроль выполнения работ осуществляется Заказчиком в соответствии с условиями Технического задания.</w:t>
      </w:r>
    </w:p>
    <w:p w:rsidR="0049683F" w:rsidRPr="0049683F" w:rsidRDefault="0049683F" w:rsidP="0049683F">
      <w:pPr>
        <w:spacing w:before="240" w:after="60" w:line="360" w:lineRule="auto"/>
        <w:outlineLvl w:val="0"/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</w:pPr>
      <w:bookmarkStart w:id="18" w:name="_Toc140130379"/>
      <w:r w:rsidRPr="0049683F">
        <w:rPr>
          <w:rFonts w:ascii="Tahoma" w:eastAsiaTheme="majorEastAsia" w:hAnsi="Tahoma" w:cs="Tahoma"/>
          <w:b/>
          <w:bCs/>
          <w:spacing w:val="-10"/>
          <w:kern w:val="28"/>
          <w:sz w:val="20"/>
          <w:szCs w:val="20"/>
        </w:rPr>
        <w:t>6. Требования к результату работ</w:t>
      </w:r>
      <w:bookmarkEnd w:id="18"/>
    </w:p>
    <w:p w:rsidR="0049683F" w:rsidRPr="0049683F" w:rsidRDefault="0049683F" w:rsidP="0049683F">
      <w:pPr>
        <w:spacing w:after="0" w:line="360" w:lineRule="auto"/>
        <w:ind w:firstLine="708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рамках реализации Проекта Исполнитель должен обеспечить: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6.1. До подписания Договора, Исполнитель должен предоставить Заказчику расчетно-сметную документацию, где должны быть перечислены основные этапы работ и все работы внутри каждого из этапов, наименования выполненных позиций, ставка за час и общее количество часов каждого вовлеченного специалиста;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6.2. Подготовку и согласование с Заказчиком детального Плана-графика реализации проекта не позднее 7 (семи) календарных дней с даты подписания договора. План-график работ должен включать в себя основные этапы работ и все работы внутри каждого из этапов. План-график работ регламентирует этапы работ и все работы внутри каждого из них, фиксирует результат по каждому пункту работ.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 xml:space="preserve">6.3.  Документирование всех результатов работ. Документация должна быть передана Заказчику в электронном виде </w:t>
      </w:r>
      <w:r w:rsidRPr="0049683F">
        <w:rPr>
          <w:rFonts w:ascii="Tahoma" w:eastAsia="Times New Roman" w:hAnsi="Tahoma" w:cs="Tahoma"/>
          <w:sz w:val="20"/>
          <w:szCs w:val="20"/>
          <w:lang w:eastAsia="ru-RU"/>
        </w:rPr>
        <w:t>по результатам согласования с Заказчиком</w:t>
      </w:r>
      <w:r w:rsidRPr="0049683F">
        <w:rPr>
          <w:rFonts w:ascii="Tahoma" w:eastAsiaTheme="minorEastAsia" w:hAnsi="Tahoma" w:cs="Tahoma"/>
          <w:sz w:val="20"/>
          <w:szCs w:val="20"/>
        </w:rPr>
        <w:t xml:space="preserve">. Перечень и формат результатов работ </w:t>
      </w:r>
      <w:r w:rsidRPr="0049683F">
        <w:rPr>
          <w:rFonts w:ascii="Tahoma" w:eastAsiaTheme="minorEastAsia" w:hAnsi="Tahoma" w:cs="Tahoma"/>
          <w:sz w:val="20"/>
          <w:szCs w:val="20"/>
        </w:rPr>
        <w:lastRenderedPageBreak/>
        <w:t xml:space="preserve">приведен в п. 3 настоящего технического задания. </w:t>
      </w:r>
      <w:r w:rsidRPr="0049683F">
        <w:rPr>
          <w:rFonts w:ascii="Tahoma" w:eastAsia="Times New Roman" w:hAnsi="Tahoma" w:cs="Tahoma"/>
          <w:sz w:val="20"/>
          <w:szCs w:val="20"/>
          <w:lang w:eastAsia="ru-RU"/>
        </w:rPr>
        <w:t>Каждый документ должен проходить последовательно два этапа – согласование и утверждение Заказчиком. Утверждение документов фиксируется в Протоколах встреч.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6.4. Приемка результатов работ осуществляется Заказчиком после проверки результатов работ Исполнителя в соответствии с перечнем в п.3 настоящего технического задания. Результатом приемки работ Исполнителя является подписанный со стороны Заказчика Акт сдачи-приемки выполненных работ по всем этапам</w:t>
      </w:r>
      <w:r w:rsidRPr="0049683F">
        <w:rPr>
          <w:rFonts w:ascii="Tahoma" w:eastAsiaTheme="minorEastAsia" w:hAnsi="Tahoma" w:cs="Tahoma"/>
          <w:b/>
          <w:sz w:val="20"/>
          <w:szCs w:val="20"/>
        </w:rPr>
        <w:t xml:space="preserve"> </w:t>
      </w:r>
      <w:r w:rsidRPr="0049683F">
        <w:rPr>
          <w:rFonts w:ascii="Tahoma" w:eastAsiaTheme="minorEastAsia" w:hAnsi="Tahoma" w:cs="Tahoma"/>
          <w:sz w:val="20"/>
          <w:szCs w:val="20"/>
        </w:rPr>
        <w:t>настоящего технического задания и детального Плана-графика согласно п. 6.2.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6.5. Работы считаются успешно выполненными, если выполняются все нижеприведенные условия.</w:t>
      </w:r>
    </w:p>
    <w:p w:rsidR="0049683F" w:rsidRPr="0049683F" w:rsidRDefault="0049683F" w:rsidP="0049683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Все разработанные проектные документы согласованы и утверждены Заказчиком.</w:t>
      </w:r>
    </w:p>
    <w:p w:rsidR="0049683F" w:rsidRPr="0049683F" w:rsidRDefault="0049683F" w:rsidP="0049683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Результаты выполненных работ соответствуют заявленной проектной документации.</w:t>
      </w:r>
    </w:p>
    <w:p w:rsidR="0049683F" w:rsidRPr="0049683F" w:rsidRDefault="0049683F" w:rsidP="0049683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Результаты выполненных работ разработаны и переданы Заказчику.</w:t>
      </w:r>
    </w:p>
    <w:p w:rsidR="0049683F" w:rsidRPr="0049683F" w:rsidRDefault="0049683F" w:rsidP="0049683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Работы выполнены своевременно, соответствуют срокам выполнения.</w:t>
      </w:r>
    </w:p>
    <w:p w:rsidR="0049683F" w:rsidRPr="0049683F" w:rsidRDefault="0049683F" w:rsidP="0049683F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49683F">
        <w:rPr>
          <w:rFonts w:ascii="Tahoma" w:eastAsiaTheme="minorEastAsia" w:hAnsi="Tahoma" w:cs="Tahoma"/>
          <w:sz w:val="20"/>
          <w:szCs w:val="20"/>
        </w:rPr>
        <w:t>В результатах работ не обнаружены дефекты. Выявленные дефекты должны быть исправлены Исполнителем в сроки действия Договора, согласно п. 3.1. настоящего технического задания.</w:t>
      </w:r>
    </w:p>
    <w:p w:rsidR="0049683F" w:rsidRPr="0049683F" w:rsidRDefault="0049683F" w:rsidP="0049683F">
      <w:pPr>
        <w:spacing w:after="0" w:line="360" w:lineRule="auto"/>
        <w:jc w:val="both"/>
        <w:rPr>
          <w:rFonts w:ascii="Tahoma" w:eastAsiaTheme="minorEastAsia" w:hAnsi="Tahoma" w:cs="Tahoma"/>
          <w:sz w:val="20"/>
          <w:szCs w:val="20"/>
        </w:rPr>
      </w:pPr>
    </w:p>
    <w:p w:rsidR="007803D6" w:rsidRPr="0049683F" w:rsidRDefault="007803D6" w:rsidP="007803D6">
      <w:pPr>
        <w:jc w:val="center"/>
        <w:rPr>
          <w:rFonts w:ascii="Tahoma" w:hAnsi="Tahoma" w:cs="Tahoma"/>
          <w:sz w:val="20"/>
          <w:szCs w:val="20"/>
        </w:rPr>
      </w:pPr>
    </w:p>
    <w:p w:rsidR="007803D6" w:rsidRPr="0049683F" w:rsidRDefault="007803D6" w:rsidP="007803D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B6881" w:rsidRPr="0049683F" w:rsidRDefault="00FB6881">
      <w:pPr>
        <w:rPr>
          <w:rFonts w:ascii="Tahoma" w:hAnsi="Tahoma" w:cs="Tahoma"/>
          <w:sz w:val="20"/>
          <w:szCs w:val="20"/>
        </w:rPr>
      </w:pPr>
    </w:p>
    <w:p w:rsidR="007803D6" w:rsidRPr="0049683F" w:rsidRDefault="007803D6">
      <w:pPr>
        <w:rPr>
          <w:rFonts w:ascii="Tahoma" w:hAnsi="Tahoma" w:cs="Tahoma"/>
          <w:sz w:val="20"/>
          <w:szCs w:val="20"/>
        </w:rPr>
      </w:pPr>
    </w:p>
    <w:sectPr w:rsidR="007803D6" w:rsidRPr="0049683F" w:rsidSect="0078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89" w:rsidRDefault="00812189" w:rsidP="007803D6">
      <w:pPr>
        <w:spacing w:after="0" w:line="240" w:lineRule="auto"/>
      </w:pPr>
      <w:r>
        <w:separator/>
      </w:r>
    </w:p>
  </w:endnote>
  <w:endnote w:type="continuationSeparator" w:id="0">
    <w:p w:rsidR="00812189" w:rsidRDefault="00812189" w:rsidP="0078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89" w:rsidRDefault="00812189" w:rsidP="007803D6">
      <w:pPr>
        <w:spacing w:after="0" w:line="240" w:lineRule="auto"/>
      </w:pPr>
      <w:r>
        <w:separator/>
      </w:r>
    </w:p>
  </w:footnote>
  <w:footnote w:type="continuationSeparator" w:id="0">
    <w:p w:rsidR="00812189" w:rsidRDefault="00812189" w:rsidP="00780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EF6703"/>
    <w:multiLevelType w:val="hybridMultilevel"/>
    <w:tmpl w:val="3E18AB06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76CE6"/>
    <w:multiLevelType w:val="hybridMultilevel"/>
    <w:tmpl w:val="9C04CD70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BC793E"/>
    <w:multiLevelType w:val="hybridMultilevel"/>
    <w:tmpl w:val="1E760D7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50106"/>
    <w:multiLevelType w:val="hybridMultilevel"/>
    <w:tmpl w:val="C4F4675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71493"/>
    <w:multiLevelType w:val="hybridMultilevel"/>
    <w:tmpl w:val="DE108A00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15234"/>
    <w:multiLevelType w:val="hybridMultilevel"/>
    <w:tmpl w:val="990C08E2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37B7A"/>
    <w:multiLevelType w:val="hybridMultilevel"/>
    <w:tmpl w:val="715438DC"/>
    <w:lvl w:ilvl="0" w:tplc="5C0E1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A0727"/>
    <w:multiLevelType w:val="hybridMultilevel"/>
    <w:tmpl w:val="49DC0DEE"/>
    <w:lvl w:ilvl="0" w:tplc="5C0E1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0"/>
  </w:num>
  <w:num w:numId="11">
    <w:abstractNumId w:val="8"/>
  </w:num>
  <w:num w:numId="12">
    <w:abstractNumId w:val="9"/>
  </w:num>
  <w:num w:numId="13">
    <w:abstractNumId w:val="2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D6"/>
    <w:rsid w:val="0049683F"/>
    <w:rsid w:val="007803D6"/>
    <w:rsid w:val="00812189"/>
    <w:rsid w:val="00F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404F4-A029-45C2-86F4-66B917A5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D6"/>
  </w:style>
  <w:style w:type="paragraph" w:styleId="2">
    <w:name w:val="heading 2"/>
    <w:aliases w:val="H2,Numbered text 3,2 headline,h,headline,h2,2,Heading 2 Hidden,CHS,H2-Heading 2,l2,Header2,22,heading2,li...,H21,H22,HD2,ТП Заголовок 2,Глава,list2,A,A.B.C.,Список 21,Heading2,Heading Indent No L2,UNDERRUBRIK 1-2,Fonctionnalité,Titre 21"/>
    <w:basedOn w:val="a"/>
    <w:next w:val="a"/>
    <w:link w:val="20"/>
    <w:uiPriority w:val="9"/>
    <w:unhideWhenUsed/>
    <w:qFormat/>
    <w:rsid w:val="0049683F"/>
    <w:pPr>
      <w:keepNext/>
      <w:spacing w:after="0" w:line="360" w:lineRule="auto"/>
      <w:outlineLvl w:val="1"/>
    </w:pPr>
    <w:rPr>
      <w:rFonts w:eastAsiaTheme="majorEastAsia" w:cs="Times New Roman"/>
      <w:b/>
      <w:bCs/>
      <w:iCs/>
      <w:sz w:val="28"/>
      <w:szCs w:val="28"/>
    </w:rPr>
  </w:style>
  <w:style w:type="paragraph" w:styleId="8">
    <w:name w:val="heading 8"/>
    <w:aliases w:val="H8,h8,Second Subheading,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"/>
    <w:basedOn w:val="a"/>
    <w:next w:val="a"/>
    <w:link w:val="80"/>
    <w:uiPriority w:val="9"/>
    <w:unhideWhenUsed/>
    <w:qFormat/>
    <w:rsid w:val="0049683F"/>
    <w:pPr>
      <w:spacing w:before="240" w:after="60" w:line="240" w:lineRule="auto"/>
      <w:outlineLvl w:val="7"/>
    </w:pPr>
    <w:rPr>
      <w:rFonts w:eastAsiaTheme="minorEastAsia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Num Bullet 1,Bullet Number,Индексы,Абзац списка литеральный,it_List1,Bullet List,FooterText,numbered,Paragraphe de liste1,lp1"/>
    <w:basedOn w:val="a"/>
    <w:link w:val="a5"/>
    <w:uiPriority w:val="34"/>
    <w:qFormat/>
    <w:rsid w:val="007803D6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80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7803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7803D6"/>
    <w:rPr>
      <w:rFonts w:ascii="Times New Roman" w:hAnsi="Times New Roman" w:cs="Times New Roman" w:hint="default"/>
      <w:vertAlign w:val="superscript"/>
    </w:rPr>
  </w:style>
  <w:style w:type="character" w:customStyle="1" w:styleId="20">
    <w:name w:val="Заголовок 2 Знак"/>
    <w:aliases w:val="H2 Знак,Numbered text 3 Знак,2 headline Знак,h Знак,headline Знак,h2 Знак,2 Знак,Heading 2 Hidden Знак,CHS Знак,H2-Heading 2 Знак,l2 Знак,Header2 Знак,22 Знак,heading2 Знак,li... Знак,H21 Знак,H22 Знак,HD2 Знак,ТП Заголовок 2 Знак"/>
    <w:basedOn w:val="a0"/>
    <w:link w:val="2"/>
    <w:uiPriority w:val="9"/>
    <w:rsid w:val="0049683F"/>
    <w:rPr>
      <w:rFonts w:eastAsiaTheme="majorEastAsia" w:cs="Times New Roman"/>
      <w:b/>
      <w:bCs/>
      <w:iCs/>
      <w:sz w:val="28"/>
      <w:szCs w:val="28"/>
    </w:rPr>
  </w:style>
  <w:style w:type="character" w:customStyle="1" w:styleId="80">
    <w:name w:val="Заголовок 8 Знак"/>
    <w:aliases w:val="H8 Знак,h8 Знак,Second Subheading Знак,Заголовок 8 Знак Знак Знак Знак Знак Знак Знак Знак Знак Знак Знак Знак Знак Знак,Заголовок 8 Знак Знак Знак Знак Знак Знак Знак Знак Знак Знак,Переч_а)1) Знак"/>
    <w:basedOn w:val="a0"/>
    <w:link w:val="8"/>
    <w:uiPriority w:val="9"/>
    <w:rsid w:val="0049683F"/>
    <w:rPr>
      <w:rFonts w:eastAsiaTheme="minorEastAsia" w:cs="Times New Roman"/>
      <w:i/>
      <w:iCs/>
      <w:sz w:val="24"/>
      <w:szCs w:val="24"/>
    </w:rPr>
  </w:style>
  <w:style w:type="character" w:styleId="a9">
    <w:name w:val="Hyperlink"/>
    <w:basedOn w:val="a0"/>
    <w:uiPriority w:val="99"/>
    <w:unhideWhenUsed/>
    <w:rsid w:val="0049683F"/>
    <w:rPr>
      <w:rFonts w:cs="Times New Roman"/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4968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Num Bullet 1 Знак,Bullet Number Знак,Индексы Знак,Абзац списка литеральный Знак"/>
    <w:link w:val="a4"/>
    <w:uiPriority w:val="34"/>
    <w:qFormat/>
    <w:locked/>
    <w:rsid w:val="0049683F"/>
  </w:style>
  <w:style w:type="paragraph" w:styleId="1">
    <w:name w:val="toc 1"/>
    <w:basedOn w:val="a"/>
    <w:next w:val="a"/>
    <w:autoRedefine/>
    <w:uiPriority w:val="39"/>
    <w:unhideWhenUsed/>
    <w:rsid w:val="0049683F"/>
    <w:pPr>
      <w:spacing w:after="100" w:line="240" w:lineRule="auto"/>
    </w:pPr>
    <w:rPr>
      <w:rFonts w:eastAsiaTheme="minorEastAsia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9683F"/>
    <w:pPr>
      <w:spacing w:after="100" w:line="240" w:lineRule="auto"/>
      <w:ind w:left="240"/>
    </w:pPr>
    <w:rPr>
      <w:rFonts w:eastAsiaTheme="minorEastAsia" w:cs="Times New Roman"/>
      <w:sz w:val="24"/>
      <w:szCs w:val="24"/>
    </w:rPr>
  </w:style>
  <w:style w:type="paragraph" w:customStyle="1" w:styleId="UlaH1">
    <w:name w:val="UlaH1"/>
    <w:basedOn w:val="ab"/>
    <w:link w:val="UlaH10"/>
    <w:qFormat/>
    <w:rsid w:val="0049683F"/>
    <w:pPr>
      <w:spacing w:before="240" w:after="60"/>
      <w:contextualSpacing w:val="0"/>
      <w:outlineLvl w:val="0"/>
    </w:pPr>
    <w:rPr>
      <w:rFonts w:cs="Times New Roman"/>
      <w:b/>
      <w:bCs/>
      <w:sz w:val="32"/>
      <w:szCs w:val="32"/>
    </w:rPr>
  </w:style>
  <w:style w:type="character" w:customStyle="1" w:styleId="UlaH10">
    <w:name w:val="UlaH1 Знак"/>
    <w:basedOn w:val="ac"/>
    <w:link w:val="UlaH1"/>
    <w:locked/>
    <w:rsid w:val="0049683F"/>
    <w:rPr>
      <w:rFonts w:asciiTheme="majorHAnsi" w:eastAsiaTheme="majorEastAsia" w:hAnsiTheme="majorHAnsi" w:cs="Times New Roman"/>
      <w:b/>
      <w:bCs/>
      <w:spacing w:val="-10"/>
      <w:kern w:val="28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4968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49683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2795</Words>
  <Characters>15936</Characters>
  <Application>Microsoft Office Word</Application>
  <DocSecurity>0</DocSecurity>
  <Lines>132</Lines>
  <Paragraphs>37</Paragraphs>
  <ScaleCrop>false</ScaleCrop>
  <Company>ies</Company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2</cp:revision>
  <dcterms:created xsi:type="dcterms:W3CDTF">2023-07-20T07:03:00Z</dcterms:created>
  <dcterms:modified xsi:type="dcterms:W3CDTF">2023-07-20T07:27:00Z</dcterms:modified>
</cp:coreProperties>
</file>